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1849B" w:themeColor="accent5" w:themeShade="BF">
    <v:background id="_x0000_s2049" o:bwmode="white" fillcolor="#31849b [2408]" o:targetscreensize="1024,768">
      <v:fill color2="#daeef3 [664]" focus="100%" type="gradientRadial">
        <o:fill v:ext="view" type="gradientCenter"/>
      </v:fill>
    </v:background>
  </w:background>
  <w:body>
    <w:p w14:paraId="7C42F9E2" w14:textId="77777777" w:rsidR="00F27CCD" w:rsidRDefault="00F27CCD" w:rsidP="00F27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9543B7" w14:textId="71F413E3" w:rsidR="00F27CCD" w:rsidRDefault="00F27CCD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CCD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27CC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27CCD">
        <w:rPr>
          <w:rFonts w:ascii="Times New Roman" w:hAnsi="Times New Roman" w:cs="Times New Roman"/>
          <w:b/>
          <w:bCs/>
          <w:sz w:val="32"/>
          <w:szCs w:val="32"/>
        </w:rPr>
        <w:t xml:space="preserve"> International Congress of Serbian Society of Mechanics</w:t>
      </w:r>
    </w:p>
    <w:p w14:paraId="1C246EA7" w14:textId="77777777" w:rsidR="00A959A0" w:rsidRPr="00A959A0" w:rsidRDefault="00A959A0" w:rsidP="00A959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959A0">
        <w:rPr>
          <w:rFonts w:ascii="Times New Roman" w:hAnsi="Times New Roman" w:cs="Times New Roman"/>
          <w:b/>
          <w:bCs/>
          <w:sz w:val="32"/>
          <w:szCs w:val="32"/>
        </w:rPr>
        <w:t>Niš</w:t>
      </w:r>
      <w:proofErr w:type="spellEnd"/>
      <w:r w:rsidRPr="00A959A0">
        <w:rPr>
          <w:rFonts w:ascii="Times New Roman" w:hAnsi="Times New Roman" w:cs="Times New Roman"/>
          <w:b/>
          <w:bCs/>
          <w:sz w:val="32"/>
          <w:szCs w:val="32"/>
        </w:rPr>
        <w:t>, Serbia, June 18-20, 2025</w:t>
      </w:r>
    </w:p>
    <w:p w14:paraId="4F4D3FB5" w14:textId="224D3DA7" w:rsidR="00F27CCD" w:rsidRPr="00384079" w:rsidRDefault="004F68C0" w:rsidP="00F27CCD">
      <w:pPr>
        <w:jc w:val="center"/>
        <w:rPr>
          <w:rFonts w:ascii="Times New Roman" w:hAnsi="Times New Roman" w:cs="Times New Roman"/>
          <w:b/>
          <w:bCs/>
          <w:sz w:val="70"/>
          <w:szCs w:val="70"/>
        </w:rPr>
      </w:pPr>
      <w:r w:rsidRPr="00384079">
        <w:rPr>
          <w:rFonts w:ascii="Times New Roman" w:hAnsi="Times New Roman" w:cs="Times New Roman"/>
          <w:b/>
          <w:bCs/>
          <w:sz w:val="70"/>
          <w:szCs w:val="70"/>
        </w:rPr>
        <w:t xml:space="preserve">Irina </w:t>
      </w:r>
      <w:proofErr w:type="spellStart"/>
      <w:r w:rsidRPr="00384079">
        <w:rPr>
          <w:rFonts w:ascii="Times New Roman" w:hAnsi="Times New Roman" w:cs="Times New Roman"/>
          <w:b/>
          <w:bCs/>
          <w:sz w:val="70"/>
          <w:szCs w:val="70"/>
        </w:rPr>
        <w:t>Goryacheva</w:t>
      </w:r>
      <w:proofErr w:type="spellEnd"/>
      <w:r w:rsidR="00F27CCD" w:rsidRPr="00384079">
        <w:rPr>
          <w:rFonts w:ascii="Times New Roman" w:hAnsi="Times New Roman" w:cs="Times New Roman"/>
          <w:b/>
          <w:bCs/>
          <w:sz w:val="70"/>
          <w:szCs w:val="70"/>
        </w:rPr>
        <w:t xml:space="preserve">, </w:t>
      </w:r>
      <w:proofErr w:type="spellStart"/>
      <w:proofErr w:type="gramStart"/>
      <w:r w:rsidR="007D5FF9" w:rsidRPr="00384079">
        <w:rPr>
          <w:rFonts w:ascii="Times New Roman" w:hAnsi="Times New Roman" w:cs="Times New Roman"/>
          <w:b/>
          <w:bCs/>
          <w:sz w:val="70"/>
          <w:szCs w:val="70"/>
        </w:rPr>
        <w:t>D.Sci</w:t>
      </w:r>
      <w:proofErr w:type="spellEnd"/>
      <w:proofErr w:type="gramEnd"/>
      <w:r w:rsidR="007D5FF9" w:rsidRPr="00384079">
        <w:rPr>
          <w:rFonts w:ascii="Times New Roman" w:hAnsi="Times New Roman" w:cs="Times New Roman"/>
          <w:b/>
          <w:bCs/>
          <w:sz w:val="70"/>
          <w:szCs w:val="70"/>
        </w:rPr>
        <w:t>,</w:t>
      </w:r>
      <w:r w:rsidR="00384079" w:rsidRPr="00384079">
        <w:rPr>
          <w:rFonts w:ascii="Times New Roman" w:hAnsi="Times New Roman" w:cs="Times New Roman"/>
          <w:b/>
          <w:bCs/>
          <w:sz w:val="70"/>
          <w:szCs w:val="70"/>
        </w:rPr>
        <w:t xml:space="preserve"> </w:t>
      </w:r>
      <w:r w:rsidR="00F27CCD" w:rsidRPr="00384079">
        <w:rPr>
          <w:rFonts w:ascii="Times New Roman" w:hAnsi="Times New Roman" w:cs="Times New Roman"/>
          <w:b/>
          <w:bCs/>
          <w:sz w:val="70"/>
          <w:szCs w:val="70"/>
        </w:rPr>
        <w:t>Ph.D.</w:t>
      </w:r>
    </w:p>
    <w:p w14:paraId="77F15C7B" w14:textId="77777777" w:rsidR="00D11E86" w:rsidRPr="002473ED" w:rsidRDefault="00D11E86" w:rsidP="00D11E86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2473ED">
        <w:rPr>
          <w:rFonts w:ascii="Times New Roman" w:hAnsi="Times New Roman" w:cs="Times New Roman"/>
          <w:b/>
          <w:bCs/>
          <w:noProof/>
          <w:lang w:val="sr-Latn-RS"/>
        </w:rPr>
        <w:t>Hosted by the Serbian Society of Mechanics at the Faculty of Mechanical Engineering and the Faculty of Civil Engineering and Architecture, University of Niš</w:t>
      </w:r>
    </w:p>
    <w:p w14:paraId="6199DE2D" w14:textId="61189021" w:rsidR="006413C0" w:rsidRDefault="00D11E86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577" wp14:editId="5F4C0973">
                <wp:simplePos x="0" y="0"/>
                <wp:positionH relativeFrom="column">
                  <wp:posOffset>1724025</wp:posOffset>
                </wp:positionH>
                <wp:positionV relativeFrom="paragraph">
                  <wp:posOffset>61595</wp:posOffset>
                </wp:positionV>
                <wp:extent cx="4451350" cy="1936750"/>
                <wp:effectExtent l="0" t="0" r="0" b="0"/>
                <wp:wrapNone/>
                <wp:docPr id="17638738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0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EFDAF" w14:textId="6C8E3106" w:rsidR="006413C0" w:rsidRPr="0098776A" w:rsidRDefault="006413C0" w:rsidP="00641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 xml:space="preserve">Short </w:t>
                            </w:r>
                            <w:r w:rsidR="00070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Professioal details and affiliation</w:t>
                            </w: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:</w:t>
                            </w:r>
                          </w:p>
                          <w:p w14:paraId="68D44D29" w14:textId="62EA46A8" w:rsidR="00A93DBF" w:rsidRPr="00152250" w:rsidRDefault="004F68C0" w:rsidP="00D11E86">
                            <w:pPr>
                              <w:spacing w:after="0" w:line="240" w:lineRule="auto"/>
                              <w:ind w:left="397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Irina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Goryacheva</w:t>
                            </w:r>
                            <w:proofErr w:type="spellEnd"/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is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a 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Professor and Head of the Tribology Laboratory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of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BE26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Ishlinsky Institute for Problems in Mechanics RAS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with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more than 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years of experience in 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the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Mechanical Engineering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. Specializing in 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the</w:t>
                            </w:r>
                            <w:r w:rsidRPr="00EA2A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contact mechanics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,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Irina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Goryacheva</w:t>
                            </w:r>
                            <w:proofErr w:type="spellEnd"/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is 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the author of more than 200 papers and 8 books and has developed analytical methods of solutions of </w:t>
                            </w:r>
                            <w:r w:rsidR="007D5F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various 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contact </w:t>
                            </w:r>
                            <w:r w:rsidR="007D5F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mechanics 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problems</w:t>
                            </w:r>
                            <w:r w:rsidR="007D5FF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taking into account friction and wear</w:t>
                            </w:r>
                            <w:r w:rsidR="00BF11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of contacting bodies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.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Irina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Goryacheva</w:t>
                            </w:r>
                            <w:proofErr w:type="spellEnd"/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holds a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h.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. degree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from </w:t>
                            </w:r>
                            <w:r w:rsidRPr="008368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Lomonosov Moscow State University</w:t>
                            </w:r>
                            <w:r w:rsidRPr="00A93D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 and is passionate about </w:t>
                            </w:r>
                            <w:r w:rsidR="00BF11ED" w:rsidRPr="001522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microgeometry effects in contact interaction</w:t>
                            </w:r>
                            <w:r w:rsidRPr="001522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3E8C9EB" w14:textId="35326187" w:rsidR="0098776A" w:rsidRPr="00A93DBF" w:rsidRDefault="0098776A" w:rsidP="00D11E86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45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5.75pt;margin-top:4.85pt;width:350.5pt;height:1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" filled="f" stroked="f" strokeweight=".5pt">
                <v:textbox>
                  <w:txbxContent>
                    <w:p w14:paraId="091EFDAF" w14:textId="6C8E3106" w:rsidR="006413C0" w:rsidRPr="0098776A" w:rsidRDefault="006413C0" w:rsidP="00641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</w:pP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 xml:space="preserve">Short </w:t>
                      </w:r>
                      <w:r w:rsidR="00070E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Professioal details and affiliation</w:t>
                      </w: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:</w:t>
                      </w:r>
                    </w:p>
                    <w:p w14:paraId="68D44D29" w14:textId="62EA46A8" w:rsidR="00A93DBF" w:rsidRPr="00152250" w:rsidRDefault="004F68C0" w:rsidP="00D11E86">
                      <w:pPr>
                        <w:spacing w:after="0" w:line="240" w:lineRule="auto"/>
                        <w:ind w:left="397" w:firstLine="720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Irina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Goryacheva</w:t>
                      </w:r>
                      <w:proofErr w:type="spellEnd"/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is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a 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Professor and Head of the Tribology Laboratory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of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Pr="00BE26C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Ishlinsky Institute for Problems in Mechanics RAS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with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more than 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50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years of experience in 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the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Mechanical Engineering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. Specializing in 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the</w:t>
                      </w:r>
                      <w:r w:rsidRPr="00EA2A9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contact mechanics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,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Irina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Goryacheva</w:t>
                      </w:r>
                      <w:proofErr w:type="spellEnd"/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</w:t>
                      </w:r>
                      <w:r w:rsidRPr="0083688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 xml:space="preserve">is 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the author of more than 200 papers and 8 books and has developed analytical methods of solutions of </w:t>
                      </w:r>
                      <w:r w:rsidR="007D5F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various 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contact </w:t>
                      </w:r>
                      <w:r w:rsidR="007D5F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mechanics 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problems</w:t>
                      </w:r>
                      <w:r w:rsidR="007D5FF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taking into account friction and wear</w:t>
                      </w:r>
                      <w:r w:rsidR="00BF11E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 xml:space="preserve"> of contacting bodies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.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Irina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Goryacheva</w:t>
                      </w:r>
                      <w:proofErr w:type="spellEnd"/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holds a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P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h.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. degree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from </w:t>
                      </w:r>
                      <w:r w:rsidRPr="008368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Lomonosov Moscow State University</w:t>
                      </w:r>
                      <w:r w:rsidRPr="00A93D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  <w:t> and is passionate about </w:t>
                      </w:r>
                      <w:r w:rsidR="00BF11ED" w:rsidRPr="001522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microgeometry effects in contact interaction</w:t>
                      </w:r>
                      <w:r w:rsidRPr="001522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3E8C9EB" w14:textId="35326187" w:rsidR="0098776A" w:rsidRPr="00A93DBF" w:rsidRDefault="0098776A" w:rsidP="00D11E86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7228C4A" wp14:editId="28DA37E0">
            <wp:simplePos x="0" y="0"/>
            <wp:positionH relativeFrom="margin">
              <wp:posOffset>206375</wp:posOffset>
            </wp:positionH>
            <wp:positionV relativeFrom="margin">
              <wp:posOffset>2218055</wp:posOffset>
            </wp:positionV>
            <wp:extent cx="1514475" cy="18002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52"/>
                    <a:stretch/>
                  </pic:blipFill>
                  <pic:spPr bwMode="auto">
                    <a:xfrm>
                      <a:off x="0" y="0"/>
                      <a:ext cx="15144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ab/>
      </w:r>
    </w:p>
    <w:p w14:paraId="4A5F0F3B" w14:textId="192EE933" w:rsidR="006413C0" w:rsidRPr="00F27CCD" w:rsidRDefault="004D28B4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6637D" wp14:editId="0C1A5D0C">
                <wp:simplePos x="0" y="0"/>
                <wp:positionH relativeFrom="margin">
                  <wp:posOffset>57150</wp:posOffset>
                </wp:positionH>
                <wp:positionV relativeFrom="paragraph">
                  <wp:posOffset>1637665</wp:posOffset>
                </wp:positionV>
                <wp:extent cx="6057900" cy="4324350"/>
                <wp:effectExtent l="0" t="0" r="0" b="0"/>
                <wp:wrapNone/>
                <wp:docPr id="8439393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6CFC8" w14:textId="39BE93EA" w:rsidR="0098776A" w:rsidRDefault="004D28B4" w:rsidP="00987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Plenary lecture</w:t>
                            </w:r>
                            <w:r w:rsid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br/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Modeling of contact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fatigue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fracture</w:t>
                            </w:r>
                            <w:proofErr w:type="spellEnd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of</w:t>
                            </w:r>
                            <w:proofErr w:type="spellEnd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deformable</w:t>
                            </w:r>
                            <w:proofErr w:type="spellEnd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bodies</w:t>
                            </w:r>
                            <w:proofErr w:type="spellEnd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in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frictional</w:t>
                            </w:r>
                            <w:proofErr w:type="spellEnd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4F68C0" w:rsidRPr="003A376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interaction</w:t>
                            </w:r>
                            <w:proofErr w:type="spellEnd"/>
                          </w:p>
                          <w:p w14:paraId="76259B50" w14:textId="77777777" w:rsidR="00D11E86" w:rsidRPr="00D11E86" w:rsidRDefault="00D11E86" w:rsidP="00987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lang w:val="sr-Latn-RS"/>
                              </w:rPr>
                            </w:pPr>
                          </w:p>
                          <w:p w14:paraId="17713D32" w14:textId="55D24717" w:rsidR="004F68C0" w:rsidRPr="00D11E86" w:rsidRDefault="0098776A" w:rsidP="004F68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:</w:t>
                            </w:r>
                            <w:r w:rsidR="00D11E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accumulation of contact fatigue damage is one of the main causes of the </w:t>
                            </w:r>
                            <w:r w:rsidR="004F6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fracture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of the surface layers of the contacting bodies</w:t>
                            </w:r>
                            <w:r w:rsidR="00BB6D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 cyclic loading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This process </w:t>
                            </w:r>
                            <w:r w:rsidR="004F6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exists at different scales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at </w:t>
                            </w:r>
                            <w:r w:rsidR="004F6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microscale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it leads to fatigue wear of friction pair materials, at macro</w:t>
                            </w:r>
                            <w:r w:rsidR="004F6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scale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the formation of a contact</w:t>
                            </w:r>
                            <w:r w:rsidR="004F68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fatigue crack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under the contacting surfaces</w:t>
                            </w:r>
                            <w:r w:rsidR="004F68C0"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455997" w14:textId="4322021C" w:rsidR="004F68C0" w:rsidRPr="003A376F" w:rsidRDefault="004F68C0" w:rsidP="004F68C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approach to modeling the 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contact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fatigue 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fracture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of </w:t>
                            </w:r>
                            <w:r w:rsidR="000822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deformable bodies under cyclic loading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is based on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calculation of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a damage function, which depends on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</w:t>
                            </w:r>
                            <w:r w:rsidR="0014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amplitude values of the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internal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stress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es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inside the contacting bodies. These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stress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es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are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determined by both the macro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-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and microgeometry of the contacting </w:t>
                            </w:r>
                            <w:r w:rsidR="00BF29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bodies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.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D34CB2" w14:textId="11BDA7A3" w:rsidR="0098776A" w:rsidRPr="0098776A" w:rsidRDefault="004F68C0" w:rsidP="009877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sr-Latn-RS"/>
                              </w:rPr>
                            </w:pP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lecture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provides </w:t>
                            </w:r>
                            <w:r w:rsidR="008F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the approach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for studying </w:t>
                            </w:r>
                            <w:r w:rsidR="0014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</w:t>
                            </w:r>
                            <w:r w:rsidR="008F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contact and </w:t>
                            </w:r>
                            <w:r w:rsidR="0014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internal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stress</w:t>
                            </w:r>
                            <w:r w:rsidR="00142E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es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and modeling the accumulation of fatigue damage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in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sliding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and rolling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with slippage of elastic bodies of given shape</w:t>
                            </w:r>
                            <w:r w:rsidR="008F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. The influence of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contact conditions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on the </w:t>
                            </w:r>
                            <w:r w:rsidR="00934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subsurface damage accumulation</w:t>
                            </w:r>
                            <w:r w:rsidR="008F39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process</w:t>
                            </w:r>
                            <w:r w:rsidR="00934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and </w:t>
                            </w:r>
                            <w:r w:rsidRPr="003A37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fatigue crack </w:t>
                            </w:r>
                            <w:r w:rsidR="00934A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formation is analyzed. The similar approach is also used to study the contact fatigue wear process for the given surface microgeomet</w:t>
                            </w:r>
                            <w:r w:rsidR="00BB6D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ry and loading conditions.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637D" id="Text Box 10" o:spid="_x0000_s1027" type="#_x0000_t202" style="position:absolute;left:0;text-align:left;margin-left:4.5pt;margin-top:128.95pt;width:477pt;height:3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" filled="f" stroked="f" strokeweight=".5pt">
                <v:textbox>
                  <w:txbxContent>
                    <w:p w14:paraId="7876CFC8" w14:textId="39BE93EA" w:rsidR="0098776A" w:rsidRDefault="004D28B4" w:rsidP="00987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Plenary lecture</w:t>
                      </w:r>
                      <w:r w:rsidR="0098776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br/>
                      </w:r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Modeling of contact</w:t>
                      </w:r>
                      <w:r w:rsidR="00BF29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 xml:space="preserve"> </w:t>
                      </w:r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 xml:space="preserve">fatigue fracture of deformable </w:t>
                      </w:r>
                      <w:proofErr w:type="spellStart"/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bodies</w:t>
                      </w:r>
                      <w:proofErr w:type="spellEnd"/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 xml:space="preserve"> </w:t>
                      </w:r>
                      <w:r w:rsidR="000822D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 xml:space="preserve">in </w:t>
                      </w:r>
                      <w:proofErr w:type="spellStart"/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frictional</w:t>
                      </w:r>
                      <w:proofErr w:type="spellEnd"/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 xml:space="preserve"> </w:t>
                      </w:r>
                      <w:proofErr w:type="spellStart"/>
                      <w:r w:rsidR="004F68C0" w:rsidRPr="003A376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interaction</w:t>
                      </w:r>
                      <w:proofErr w:type="spellEnd"/>
                    </w:p>
                    <w:p w14:paraId="76259B50" w14:textId="77777777" w:rsidR="00D11E86" w:rsidRPr="00D11E86" w:rsidRDefault="00D11E86" w:rsidP="00987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2"/>
                          <w:szCs w:val="12"/>
                          <w:lang w:val="sr-Latn-RS"/>
                        </w:rPr>
                      </w:pPr>
                    </w:p>
                    <w:p w14:paraId="17713D32" w14:textId="55D24717" w:rsidR="004F68C0" w:rsidRPr="00D11E86" w:rsidRDefault="0098776A" w:rsidP="004F68C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Abstract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:</w:t>
                      </w:r>
                      <w:r w:rsidR="00D11E8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 xml:space="preserve"> 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accumulation of contact fatigue damage is one of the main causes of the </w:t>
                      </w:r>
                      <w:r w:rsidR="004F6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fracture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of the surface layers of the contacting bodies</w:t>
                      </w:r>
                      <w:r w:rsidR="00BB6D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 cyclic loading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This process </w:t>
                      </w:r>
                      <w:r w:rsidR="004F6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exists at different scales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at </w:t>
                      </w:r>
                      <w:r w:rsidR="004F6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microscale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it leads to fatigue wear of friction pair materials, at macro</w:t>
                      </w:r>
                      <w:r w:rsidR="004F6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scale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the formation of a contact</w:t>
                      </w:r>
                      <w:r w:rsidR="004F68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fatigue crack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under the contacting surfaces</w:t>
                      </w:r>
                      <w:r w:rsidR="004F68C0"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E455997" w14:textId="4322021C" w:rsidR="004F68C0" w:rsidRPr="003A376F" w:rsidRDefault="004F68C0" w:rsidP="004F68C0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approach to modeling the 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contact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fatigue 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fracture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of </w:t>
                      </w:r>
                      <w:r w:rsidR="000822D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deformable bodies under cyclic loading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is based on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calculation of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a damage function, which depends on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</w:t>
                      </w:r>
                      <w:r w:rsidR="00142E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amplitude values of the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internal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stress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es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inside the contacting bodies. These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stress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es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are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determined by both the macro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-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and microgeometry of the contacting </w:t>
                      </w:r>
                      <w:r w:rsidR="00BF29F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bodies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.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D34CB2" w14:textId="11BDA7A3" w:rsidR="0098776A" w:rsidRPr="0098776A" w:rsidRDefault="004F68C0" w:rsidP="0098776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  <w:lang w:val="sr-Latn-RS"/>
                        </w:rPr>
                      </w:pP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lecture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provides </w:t>
                      </w:r>
                      <w:r w:rsidR="008F39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the approach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for studying </w:t>
                      </w:r>
                      <w:r w:rsidR="00142E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</w:t>
                      </w:r>
                      <w:r w:rsidR="008F39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contact and </w:t>
                      </w:r>
                      <w:r w:rsidR="00142E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internal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stress</w:t>
                      </w:r>
                      <w:r w:rsidR="00142E7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es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and modeling the accumulation of fatigue damage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in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sliding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and rolling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with slippage of elastic bodies of given shape</w:t>
                      </w:r>
                      <w:r w:rsidR="008F39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. The influence of the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contact conditions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on the </w:t>
                      </w:r>
                      <w:r w:rsidR="00934A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subsurface damage accumulation</w:t>
                      </w:r>
                      <w:r w:rsidR="008F397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process</w:t>
                      </w:r>
                      <w:r w:rsidR="00934A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and </w:t>
                      </w:r>
                      <w:r w:rsidRPr="003A37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fatigue crack </w:t>
                      </w:r>
                      <w:r w:rsidR="00934A6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formation is analyzed. The similar approach is also used to study the contact fatigue wear process for the given surface microgeomet</w:t>
                      </w:r>
                      <w:r w:rsidR="00BB6D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ry and loading conditions.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3C0" w:rsidRPr="00F2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4E27" w14:textId="77777777" w:rsidR="005D5934" w:rsidRDefault="005D5934" w:rsidP="00F27CCD">
      <w:pPr>
        <w:spacing w:after="0" w:line="240" w:lineRule="auto"/>
      </w:pPr>
      <w:r>
        <w:separator/>
      </w:r>
    </w:p>
  </w:endnote>
  <w:endnote w:type="continuationSeparator" w:id="0">
    <w:p w14:paraId="14A7E451" w14:textId="77777777" w:rsidR="005D5934" w:rsidRDefault="005D5934" w:rsidP="00F2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346A" w14:textId="77777777" w:rsidR="00D11E86" w:rsidRDefault="00D11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5778" w14:textId="77777777" w:rsidR="00D11E86" w:rsidRDefault="00D11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EB89B" w14:textId="77777777" w:rsidR="00D11E86" w:rsidRDefault="00D1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01B92" w14:textId="77777777" w:rsidR="005D5934" w:rsidRDefault="005D5934" w:rsidP="00F27CCD">
      <w:pPr>
        <w:spacing w:after="0" w:line="240" w:lineRule="auto"/>
      </w:pPr>
      <w:r>
        <w:separator/>
      </w:r>
    </w:p>
  </w:footnote>
  <w:footnote w:type="continuationSeparator" w:id="0">
    <w:p w14:paraId="41A3D428" w14:textId="77777777" w:rsidR="005D5934" w:rsidRDefault="005D5934" w:rsidP="00F2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4250" w14:textId="77777777" w:rsidR="00D11E86" w:rsidRDefault="00D11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C69D" w14:textId="256B24BD" w:rsidR="00F27CCD" w:rsidRDefault="00F27CCD">
    <w:pPr>
      <w:pStyle w:val="Header"/>
    </w:pPr>
    <w:r>
      <w:rPr>
        <w:noProof/>
        <w:lang w:val="ru-RU" w:eastAsia="ru-RU"/>
      </w:rPr>
      <w:drawing>
        <wp:inline distT="0" distB="0" distL="0" distR="0" wp14:anchorId="3B034094" wp14:editId="76EFDCAF">
          <wp:extent cx="1524003" cy="755906"/>
          <wp:effectExtent l="0" t="0" r="0" b="6350"/>
          <wp:docPr id="1761959000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59000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5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27CCD">
      <w:rPr>
        <w:noProof/>
        <w:lang w:val="ru-RU" w:eastAsia="ru-RU"/>
      </w:rPr>
      <w:drawing>
        <wp:inline distT="0" distB="0" distL="0" distR="0" wp14:anchorId="1A6D229B" wp14:editId="365DF352">
          <wp:extent cx="838200" cy="828491"/>
          <wp:effectExtent l="0" t="0" r="0" b="0"/>
          <wp:docPr id="4" name="Picture 3" descr="MF-Hollow">
            <a:extLst xmlns:a="http://schemas.openxmlformats.org/drawingml/2006/main">
              <a:ext uri="{FF2B5EF4-FFF2-40B4-BE49-F238E27FC236}">
                <a16:creationId xmlns:a16="http://schemas.microsoft.com/office/drawing/2014/main" id="{11829218-5820-DED3-5F95-46A827CC5B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F-Hollow">
                    <a:extLst>
                      <a:ext uri="{FF2B5EF4-FFF2-40B4-BE49-F238E27FC236}">
                        <a16:creationId xmlns:a16="http://schemas.microsoft.com/office/drawing/2014/main" id="{11829218-5820-DED3-5F95-46A827CC5B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39" cy="83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FEAEC" w14:textId="77777777" w:rsidR="00D11E86" w:rsidRDefault="00D11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73"/>
    <w:rsid w:val="000119C0"/>
    <w:rsid w:val="0005182F"/>
    <w:rsid w:val="00070E69"/>
    <w:rsid w:val="000822DB"/>
    <w:rsid w:val="000F603D"/>
    <w:rsid w:val="00142E77"/>
    <w:rsid w:val="00152250"/>
    <w:rsid w:val="00193272"/>
    <w:rsid w:val="002A4F28"/>
    <w:rsid w:val="002B2FBF"/>
    <w:rsid w:val="00384079"/>
    <w:rsid w:val="003E217F"/>
    <w:rsid w:val="00410BA9"/>
    <w:rsid w:val="00480446"/>
    <w:rsid w:val="004D28B4"/>
    <w:rsid w:val="004F68C0"/>
    <w:rsid w:val="0054146A"/>
    <w:rsid w:val="005D5934"/>
    <w:rsid w:val="006413C0"/>
    <w:rsid w:val="006D29A5"/>
    <w:rsid w:val="007B0135"/>
    <w:rsid w:val="007D5FF9"/>
    <w:rsid w:val="008D1946"/>
    <w:rsid w:val="008F397E"/>
    <w:rsid w:val="00934A64"/>
    <w:rsid w:val="00982973"/>
    <w:rsid w:val="0098776A"/>
    <w:rsid w:val="00A564E4"/>
    <w:rsid w:val="00A724D6"/>
    <w:rsid w:val="00A93DBF"/>
    <w:rsid w:val="00A959A0"/>
    <w:rsid w:val="00BB6AED"/>
    <w:rsid w:val="00BB6D70"/>
    <w:rsid w:val="00BC0F47"/>
    <w:rsid w:val="00BD77A6"/>
    <w:rsid w:val="00BF11ED"/>
    <w:rsid w:val="00BF29F8"/>
    <w:rsid w:val="00CB0C8B"/>
    <w:rsid w:val="00CD2BB3"/>
    <w:rsid w:val="00CF024F"/>
    <w:rsid w:val="00D11E86"/>
    <w:rsid w:val="00DE23A1"/>
    <w:rsid w:val="00DE3EF9"/>
    <w:rsid w:val="00E23FB5"/>
    <w:rsid w:val="00F27CCD"/>
    <w:rsid w:val="00F546C5"/>
    <w:rsid w:val="00F605E3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3901"/>
  <w15:docId w15:val="{36BC69D4-9EC8-7141-9A72-D2691CA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CD"/>
  </w:style>
  <w:style w:type="paragraph" w:styleId="Footer">
    <w:name w:val="footer"/>
    <w:basedOn w:val="Normal"/>
    <w:link w:val="Foot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CD"/>
  </w:style>
  <w:style w:type="paragraph" w:styleId="BalloonText">
    <w:name w:val="Balloon Text"/>
    <w:basedOn w:val="Normal"/>
    <w:link w:val="BalloonTextChar"/>
    <w:uiPriority w:val="99"/>
    <w:semiHidden/>
    <w:unhideWhenUsed/>
    <w:rsid w:val="004F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EC26-2B8D-4099-BEB4-DF13AA3B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Despenic</dc:creator>
  <cp:keywords/>
  <dc:description/>
  <cp:lastModifiedBy>Vladimir Stojanovic</cp:lastModifiedBy>
  <cp:revision>20</cp:revision>
  <dcterms:created xsi:type="dcterms:W3CDTF">2025-02-12T13:04:00Z</dcterms:created>
  <dcterms:modified xsi:type="dcterms:W3CDTF">2025-03-13T16:56:00Z</dcterms:modified>
</cp:coreProperties>
</file>