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1849B" w:themeColor="accent5" w:themeShade="BF">
    <v:background id="_x0000_s2049" o:bwmode="white" fillcolor="#31849b [2408]" o:targetscreensize="1024,768">
      <v:fill color2="#daeef3 [664]" focus="100%" type="gradientRadial">
        <o:fill v:ext="view" type="gradientCenter"/>
      </v:fill>
    </v:background>
  </w:background>
  <w:body>
    <w:p w14:paraId="7C42F9E2" w14:textId="77777777" w:rsidR="00F27CCD" w:rsidRDefault="00F27CCD" w:rsidP="00F27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9543B7" w14:textId="71F413E3" w:rsidR="00F27CCD" w:rsidRDefault="00F27CCD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7CCD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F27CC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F27CCD">
        <w:rPr>
          <w:rFonts w:ascii="Times New Roman" w:hAnsi="Times New Roman" w:cs="Times New Roman"/>
          <w:b/>
          <w:bCs/>
          <w:sz w:val="32"/>
          <w:szCs w:val="32"/>
        </w:rPr>
        <w:t xml:space="preserve"> International Congress of Serbian Society of Mechanics</w:t>
      </w:r>
    </w:p>
    <w:p w14:paraId="1C246EA7" w14:textId="77777777" w:rsidR="00A959A0" w:rsidRPr="00A959A0" w:rsidRDefault="00A959A0" w:rsidP="00A959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A959A0">
        <w:rPr>
          <w:rFonts w:ascii="Times New Roman" w:hAnsi="Times New Roman" w:cs="Times New Roman"/>
          <w:b/>
          <w:bCs/>
          <w:sz w:val="32"/>
          <w:szCs w:val="32"/>
        </w:rPr>
        <w:t>Niš</w:t>
      </w:r>
      <w:proofErr w:type="spellEnd"/>
      <w:r w:rsidRPr="00A959A0">
        <w:rPr>
          <w:rFonts w:ascii="Times New Roman" w:hAnsi="Times New Roman" w:cs="Times New Roman"/>
          <w:b/>
          <w:bCs/>
          <w:sz w:val="32"/>
          <w:szCs w:val="32"/>
        </w:rPr>
        <w:t>, Serbia, June 18-20, 2025</w:t>
      </w:r>
    </w:p>
    <w:p w14:paraId="4F4D3FB5" w14:textId="46E1FD1E" w:rsidR="00F27CCD" w:rsidRDefault="001D1360" w:rsidP="00F27CC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Jian Deng</w:t>
      </w:r>
      <w:r w:rsidR="00F27CCD">
        <w:rPr>
          <w:rFonts w:ascii="Times New Roman" w:hAnsi="Times New Roman" w:cs="Times New Roman"/>
          <w:b/>
          <w:bCs/>
          <w:sz w:val="72"/>
          <w:szCs w:val="72"/>
        </w:rPr>
        <w:t>, Ph.D.</w:t>
      </w:r>
    </w:p>
    <w:p w14:paraId="4C35D5EE" w14:textId="6580FF3C" w:rsidR="00D64021" w:rsidRDefault="00D64021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 w:rsidRPr="00DB346B">
        <w:rPr>
          <w:rFonts w:ascii="Times New Roman" w:hAnsi="Times New Roman" w:cs="Times New Roman"/>
          <w:b/>
          <w:bCs/>
        </w:rPr>
        <w:t xml:space="preserve">Hosted by the Serbian Society of Mechanics at the Faculty of Mechanical Engineering and the Faculty of Civil Engineering and Architecture, University of </w:t>
      </w:r>
      <w:proofErr w:type="spellStart"/>
      <w:r w:rsidRPr="00DB346B">
        <w:rPr>
          <w:rFonts w:ascii="Times New Roman" w:hAnsi="Times New Roman" w:cs="Times New Roman"/>
          <w:b/>
          <w:bCs/>
        </w:rPr>
        <w:t>Niš</w:t>
      </w:r>
      <w:proofErr w:type="spellEnd"/>
    </w:p>
    <w:p w14:paraId="6199DE2D" w14:textId="1E8AC1B4" w:rsidR="006413C0" w:rsidRDefault="00D64021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BDF9E0" wp14:editId="3B3FED98">
            <wp:simplePos x="0" y="0"/>
            <wp:positionH relativeFrom="column">
              <wp:posOffset>94615</wp:posOffset>
            </wp:positionH>
            <wp:positionV relativeFrom="paragraph">
              <wp:posOffset>62230</wp:posOffset>
            </wp:positionV>
            <wp:extent cx="1429385" cy="1985645"/>
            <wp:effectExtent l="0" t="0" r="5715" b="0"/>
            <wp:wrapSquare wrapText="bothSides"/>
            <wp:docPr id="1695735818" name="Picture 7" descr="A person in a suit and t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735818" name="Picture 7" descr="A person in a suit and ti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385" cy="19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7137">
        <w:rPr>
          <w:rFonts w:ascii="Times New Roman" w:hAnsi="Times New Roman" w:cs="Times New Roman"/>
          <w:b/>
          <w:bCs/>
          <w:noProof/>
          <w:sz w:val="32"/>
          <w:szCs w:val="32"/>
          <w:lang w:val="sr-Latn-R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4577" wp14:editId="7B8AC085">
                <wp:simplePos x="0" y="0"/>
                <wp:positionH relativeFrom="column">
                  <wp:posOffset>1704975</wp:posOffset>
                </wp:positionH>
                <wp:positionV relativeFrom="paragraph">
                  <wp:posOffset>67310</wp:posOffset>
                </wp:positionV>
                <wp:extent cx="4438650" cy="1704975"/>
                <wp:effectExtent l="0" t="0" r="0" b="0"/>
                <wp:wrapNone/>
                <wp:docPr id="17638738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1EFDAF" w14:textId="6C8E3106" w:rsidR="006413C0" w:rsidRPr="0098776A" w:rsidRDefault="006413C0" w:rsidP="006413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 xml:space="preserve">Short </w:t>
                            </w:r>
                            <w:r w:rsidR="00070E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Professioal details and affiliation</w:t>
                            </w:r>
                            <w:r w:rsidRP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r-Latn-RS"/>
                              </w:rPr>
                              <w:t>:</w:t>
                            </w:r>
                          </w:p>
                          <w:p w14:paraId="68D44D29" w14:textId="13EFEC7B" w:rsidR="00A93DBF" w:rsidRPr="00A93DBF" w:rsidRDefault="00D11666" w:rsidP="00A9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D116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Dr. Jian Deng is a Professor at Lakehead University with 30 years of experience in Engineering</w:t>
                            </w:r>
                            <w:r w:rsidR="00D42A6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Sciences</w:t>
                            </w:r>
                            <w:r w:rsidRPr="00D116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. Specializing in dynamic stability and structural reliability, he advances theories and techniques for </w:t>
                            </w:r>
                            <w:proofErr w:type="spellStart"/>
                            <w:r w:rsidRPr="00D116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analyzing</w:t>
                            </w:r>
                            <w:proofErr w:type="spellEnd"/>
                            <w:r w:rsidRPr="00D116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designing underground excavations, structural elements, and engineering systems. He holds a Ph.D. from the University of Waterloo</w:t>
                            </w:r>
                            <w:r w:rsidR="000876F3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, Canada,</w:t>
                            </w:r>
                            <w:r w:rsidRPr="00D116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and is passionate about research, teaching, and programming.</w:t>
                            </w:r>
                          </w:p>
                          <w:p w14:paraId="23E8C9EB" w14:textId="35326187" w:rsidR="0098776A" w:rsidRPr="00A93DBF" w:rsidRDefault="0098776A" w:rsidP="00A9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45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4.25pt;margin-top:5.3pt;width:349.5pt;height:13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" filled="f" stroked="f" strokeweight=".5pt">
                <v:textbox>
                  <w:txbxContent>
                    <w:p w14:paraId="091EFDAF" w14:textId="6C8E3106" w:rsidR="006413C0" w:rsidRPr="0098776A" w:rsidRDefault="006413C0" w:rsidP="006413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</w:pPr>
                      <w:r w:rsidRPr="00987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 xml:space="preserve">Short </w:t>
                      </w:r>
                      <w:r w:rsidR="00070E69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>Professioal details and affiliation</w:t>
                      </w:r>
                      <w:r w:rsidRPr="0098776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r-Latn-RS"/>
                        </w:rPr>
                        <w:t>:</w:t>
                      </w:r>
                    </w:p>
                    <w:p w14:paraId="68D44D29" w14:textId="13EFEC7B" w:rsidR="00A93DBF" w:rsidRPr="00A93DBF" w:rsidRDefault="00D11666" w:rsidP="00A93DBF">
                      <w:pPr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en-GB"/>
                        </w:rPr>
                      </w:pPr>
                      <w:r w:rsidRPr="00D116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Dr. Jian Deng is a Professor at Lakehead University with 30 years of experience in Engineering</w:t>
                      </w:r>
                      <w:r w:rsidR="00D42A6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Sciences</w:t>
                      </w:r>
                      <w:r w:rsidRPr="00D116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. Specializing in dynamic stability and structural reliability, he advances theories and techniques for </w:t>
                      </w:r>
                      <w:proofErr w:type="spellStart"/>
                      <w:r w:rsidRPr="00D116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analyzing</w:t>
                      </w:r>
                      <w:proofErr w:type="spellEnd"/>
                      <w:r w:rsidRPr="00D116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and designing underground excavations, structural elements, and engineering systems. He holds a Ph.D. from the University of Waterloo</w:t>
                      </w:r>
                      <w:r w:rsidR="000876F3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, Canada,</w:t>
                      </w:r>
                      <w:r w:rsidRPr="00D116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and is passionate about research, teaching, and programming.</w:t>
                      </w:r>
                    </w:p>
                    <w:p w14:paraId="23E8C9EB" w14:textId="35326187" w:rsidR="0098776A" w:rsidRPr="00A93DBF" w:rsidRDefault="0098776A" w:rsidP="00A93DB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13C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6413C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ab/>
      </w:r>
    </w:p>
    <w:p w14:paraId="4A5F0F3B" w14:textId="20B88F1F" w:rsidR="006413C0" w:rsidRPr="00F27CCD" w:rsidRDefault="008E6ED0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sr-Latn-R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574DC2" wp14:editId="280926E3">
                <wp:simplePos x="0" y="0"/>
                <wp:positionH relativeFrom="margin">
                  <wp:posOffset>0</wp:posOffset>
                </wp:positionH>
                <wp:positionV relativeFrom="paragraph">
                  <wp:posOffset>1828165</wp:posOffset>
                </wp:positionV>
                <wp:extent cx="6057900" cy="4324350"/>
                <wp:effectExtent l="0" t="0" r="0" b="0"/>
                <wp:wrapNone/>
                <wp:docPr id="84393939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32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A14EC" w14:textId="77777777" w:rsidR="00D64021" w:rsidRDefault="008E6ED0" w:rsidP="008E6E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Plenary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lecture</w:t>
                            </w:r>
                            <w:proofErr w:type="spellEnd"/>
                          </w:p>
                          <w:p w14:paraId="0C62CC8C" w14:textId="4136A80F" w:rsidR="008E6ED0" w:rsidRDefault="008E6ED0" w:rsidP="008E6E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Dynamic Stability of Structures under Multi-Hazards</w:t>
                            </w:r>
                          </w:p>
                          <w:p w14:paraId="3265293E" w14:textId="5313FF51" w:rsidR="007C170C" w:rsidRPr="00D64021" w:rsidRDefault="008E6ED0" w:rsidP="007C170C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Abstract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:</w:t>
                            </w:r>
                            <w:r w:rsidR="00D6402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Natural</w:t>
                            </w:r>
                            <w:proofErr w:type="spellEnd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hazards</w:t>
                            </w:r>
                            <w:proofErr w:type="spellEnd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pose</w:t>
                            </w:r>
                            <w:proofErr w:type="spellEnd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proofErr w:type="spellStart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significant</w:t>
                            </w:r>
                            <w:proofErr w:type="spellEnd"/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risks to people and infrastructure worldwide. Traditional stability assessment approaches often focus on individual hazards, overlooking the cumulative and cascading effects of multi-hazard scenarios. This can lead to inaccurate </w:t>
                            </w:r>
                            <w:r w:rsidR="003B18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stability</w:t>
                            </w:r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estimations, as the combined impact of multiple hazards—such as earthquakes, </w:t>
                            </w:r>
                            <w:r w:rsidR="003B182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vibrations, </w:t>
                            </w:r>
                            <w:r w:rsidR="007C170C"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landslides, and water waves—may differ significantly from the sum of their individual effects.</w:t>
                            </w:r>
                          </w:p>
                          <w:p w14:paraId="2F81C6E8" w14:textId="37ED5244" w:rsidR="008E6ED0" w:rsidRPr="0098776A" w:rsidRDefault="007C170C" w:rsidP="008E6ED0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sr-Latn-RS"/>
                              </w:rPr>
                            </w:pPr>
                            <w:r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This talk explores the dynamic stability of structures under multi-hazard conditions, using pile foundations in Lake Superior as a case study. The equations of motion for pile foundations subjected to multiple excitations are derived using Hamilton’s principle. Analytical and numerical methods are employed to identify dynamic instability regions, with a particular focus on parametric resonances. </w:t>
                            </w:r>
                            <w:r w:rsidR="00C17364" w:rsidRPr="00C173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The numerically accurate diagrams are used to calibrate the approximate </w:t>
                            </w:r>
                            <w:r w:rsidR="00C173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analytical </w:t>
                            </w:r>
                            <w:r w:rsidR="00C17364" w:rsidRPr="00C173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instability boundaries of various orders of the </w:t>
                            </w:r>
                            <w:r w:rsidR="00C173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method harminc balance</w:t>
                            </w:r>
                            <w:r w:rsidR="00C17364" w:rsidRPr="00C173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.</w:t>
                            </w:r>
                            <w:r w:rsidR="00C1736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 w:rsidR="00822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The numerical method can also </w:t>
                            </w:r>
                            <w:r w:rsidR="0082286E" w:rsidRPr="00822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overcome the limitations of small-parameter assumptions inherent in perturbative</w:t>
                            </w:r>
                            <w:r w:rsidR="00822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 and </w:t>
                            </w:r>
                            <w:r w:rsidR="009A14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ave</w:t>
                            </w:r>
                            <w:r w:rsidR="00822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raging </w:t>
                            </w:r>
                            <w:r w:rsidR="0082286E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val="sr-Latn-RS" w:eastAsia="zh-CN"/>
                              </w:rPr>
                              <w:t xml:space="preserve"> t</w:t>
                            </w:r>
                            <w:r w:rsidR="0082286E" w:rsidRPr="00822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echniques</w:t>
                            </w:r>
                            <w:r w:rsidR="008228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.</w:t>
                            </w:r>
                            <w:r w:rsidR="0082286E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  <w:lang w:val="sr-Latn-RS" w:eastAsia="zh-CN"/>
                              </w:rPr>
                              <w:t xml:space="preserve"> </w:t>
                            </w:r>
                            <w:r w:rsidRPr="007C170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The findings provide new insights into structural behavior under complex hazard interactions, contributing to more robust and resilient infrastructure design.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74DC2" id="Text Box 10" o:spid="_x0000_s1027" type="#_x0000_t202" style="position:absolute;left:0;text-align:left;margin-left:0;margin-top:143.95pt;width:477pt;height:3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" filled="f" stroked="f" strokeweight=".5pt">
                <v:textbox>
                  <w:txbxContent>
                    <w:p w14:paraId="68DA14EC" w14:textId="77777777" w:rsidR="00D64021" w:rsidRDefault="008E6ED0" w:rsidP="008E6E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Plenary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lecture</w:t>
                      </w:r>
                      <w:proofErr w:type="spellEnd"/>
                    </w:p>
                    <w:p w14:paraId="0C62CC8C" w14:textId="4136A80F" w:rsidR="008E6ED0" w:rsidRDefault="008E6ED0" w:rsidP="008E6ED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>Dynamic Stability of Structures under Multi-Hazards</w:t>
                      </w:r>
                    </w:p>
                    <w:p w14:paraId="3265293E" w14:textId="5313FF51" w:rsidR="007C170C" w:rsidRPr="00D64021" w:rsidRDefault="008E6ED0" w:rsidP="007C170C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Abstract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:</w:t>
                      </w:r>
                      <w:r w:rsidR="00D64021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 xml:space="preserve"> </w:t>
                      </w:r>
                      <w:proofErr w:type="spellStart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Natural</w:t>
                      </w:r>
                      <w:proofErr w:type="spellEnd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hazards</w:t>
                      </w:r>
                      <w:proofErr w:type="spellEnd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pose</w:t>
                      </w:r>
                      <w:proofErr w:type="spellEnd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proofErr w:type="spellStart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significant</w:t>
                      </w:r>
                      <w:proofErr w:type="spellEnd"/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risks to people and infrastructure worldwide. Traditional stability assessment approaches often focus on individual hazards, overlooking the cumulative and cascading effects of multi-hazard scenarios. This can lead to inaccurate </w:t>
                      </w:r>
                      <w:r w:rsidR="003B18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stability</w:t>
                      </w:r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estimations, as the combined impact of multiple hazards—such as earthquakes, </w:t>
                      </w:r>
                      <w:r w:rsidR="003B182D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vibrations, </w:t>
                      </w:r>
                      <w:r w:rsidR="007C170C"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landslides, and water waves—may differ significantly from the sum of their individual effects.</w:t>
                      </w:r>
                    </w:p>
                    <w:p w14:paraId="2F81C6E8" w14:textId="37ED5244" w:rsidR="008E6ED0" w:rsidRPr="0098776A" w:rsidRDefault="007C170C" w:rsidP="008E6ED0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  <w:lang w:val="sr-Latn-RS"/>
                        </w:rPr>
                      </w:pPr>
                      <w:r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This talk explores the dynamic stability of structures under multi-hazard conditions, using pile foundations in Lake Superior as a case study. The equations of motion for pile foundations subjected to multiple excitations are derived using Hamilton’s principle. Analytical and numerical methods are employed to identify dynamic instability regions, with a particular focus on parametric resonances. </w:t>
                      </w:r>
                      <w:r w:rsidR="00C17364" w:rsidRPr="00C173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The numerically accurate diagrams are used to calibrate the approximate </w:t>
                      </w:r>
                      <w:r w:rsidR="00C173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analytical </w:t>
                      </w:r>
                      <w:r w:rsidR="00C17364" w:rsidRPr="00C173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instability boundaries of various orders of the </w:t>
                      </w:r>
                      <w:r w:rsidR="00C173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method harminc balance</w:t>
                      </w:r>
                      <w:r w:rsidR="00C17364" w:rsidRPr="00C173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.</w:t>
                      </w:r>
                      <w:r w:rsidR="00C17364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 w:rsidR="008228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The numerical method can also </w:t>
                      </w:r>
                      <w:r w:rsidR="0082286E" w:rsidRPr="008228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overcome the limitations of small-parameter assumptions inherent in perturbative</w:t>
                      </w:r>
                      <w:r w:rsidR="008228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 and </w:t>
                      </w:r>
                      <w:r w:rsidR="009A140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ave</w:t>
                      </w:r>
                      <w:r w:rsidR="008228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raging </w:t>
                      </w:r>
                      <w:r w:rsidR="0082286E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val="sr-Latn-RS" w:eastAsia="zh-CN"/>
                        </w:rPr>
                        <w:t xml:space="preserve"> t</w:t>
                      </w:r>
                      <w:r w:rsidR="0082286E" w:rsidRPr="008228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echniques</w:t>
                      </w:r>
                      <w:r w:rsidR="0082286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.</w:t>
                      </w:r>
                      <w:r w:rsidR="0082286E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  <w:lang w:val="sr-Latn-RS" w:eastAsia="zh-CN"/>
                        </w:rPr>
                        <w:t xml:space="preserve"> </w:t>
                      </w:r>
                      <w:r w:rsidRPr="007C170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The findings provide new insights into structural behavior under complex hazard interactions, contributing to more robust and resilient infrastructure design.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13C0" w:rsidRPr="00F27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11A9A" w14:textId="77777777" w:rsidR="0021133E" w:rsidRDefault="0021133E" w:rsidP="00F27CCD">
      <w:pPr>
        <w:spacing w:after="0" w:line="240" w:lineRule="auto"/>
      </w:pPr>
      <w:r>
        <w:separator/>
      </w:r>
    </w:p>
  </w:endnote>
  <w:endnote w:type="continuationSeparator" w:id="0">
    <w:p w14:paraId="71BB58CA" w14:textId="77777777" w:rsidR="0021133E" w:rsidRDefault="0021133E" w:rsidP="00F2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C370" w14:textId="77777777" w:rsidR="00D64021" w:rsidRDefault="00D640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C5295" w14:textId="77777777" w:rsidR="00D64021" w:rsidRDefault="00D640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32F0A" w14:textId="77777777" w:rsidR="00D64021" w:rsidRDefault="00D640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32A08" w14:textId="77777777" w:rsidR="0021133E" w:rsidRDefault="0021133E" w:rsidP="00F27CCD">
      <w:pPr>
        <w:spacing w:after="0" w:line="240" w:lineRule="auto"/>
      </w:pPr>
      <w:r>
        <w:separator/>
      </w:r>
    </w:p>
  </w:footnote>
  <w:footnote w:type="continuationSeparator" w:id="0">
    <w:p w14:paraId="2AB40B92" w14:textId="77777777" w:rsidR="0021133E" w:rsidRDefault="0021133E" w:rsidP="00F2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9E6C0" w14:textId="77777777" w:rsidR="00D64021" w:rsidRDefault="00D640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C69D" w14:textId="256B24BD" w:rsidR="00F27CCD" w:rsidRDefault="00F27CCD">
    <w:pPr>
      <w:pStyle w:val="Header"/>
    </w:pPr>
    <w:r>
      <w:rPr>
        <w:noProof/>
      </w:rPr>
      <w:drawing>
        <wp:inline distT="0" distB="0" distL="0" distR="0" wp14:anchorId="3B034094" wp14:editId="76EFDCAF">
          <wp:extent cx="1524003" cy="755906"/>
          <wp:effectExtent l="0" t="0" r="0" b="6350"/>
          <wp:docPr id="1761959000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59000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5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27CCD">
      <w:rPr>
        <w:noProof/>
      </w:rPr>
      <w:drawing>
        <wp:inline distT="0" distB="0" distL="0" distR="0" wp14:anchorId="1A6D229B" wp14:editId="365DF352">
          <wp:extent cx="838200" cy="828491"/>
          <wp:effectExtent l="0" t="0" r="0" b="0"/>
          <wp:docPr id="4" name="Picture 3" descr="MF-Hollow">
            <a:extLst xmlns:a="http://schemas.openxmlformats.org/drawingml/2006/main">
              <a:ext uri="{FF2B5EF4-FFF2-40B4-BE49-F238E27FC236}">
                <a16:creationId xmlns:a16="http://schemas.microsoft.com/office/drawing/2014/main" id="{11829218-5820-DED3-5F95-46A827CC5B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MF-Hollow">
                    <a:extLst>
                      <a:ext uri="{FF2B5EF4-FFF2-40B4-BE49-F238E27FC236}">
                        <a16:creationId xmlns:a16="http://schemas.microsoft.com/office/drawing/2014/main" id="{11829218-5820-DED3-5F95-46A827CC5B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39" cy="834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7BAF5" w14:textId="77777777" w:rsidR="00D64021" w:rsidRDefault="00D640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73"/>
    <w:rsid w:val="0002637C"/>
    <w:rsid w:val="0005182F"/>
    <w:rsid w:val="000626D4"/>
    <w:rsid w:val="00070E69"/>
    <w:rsid w:val="000876F3"/>
    <w:rsid w:val="000F603D"/>
    <w:rsid w:val="000F657E"/>
    <w:rsid w:val="00120069"/>
    <w:rsid w:val="001357CF"/>
    <w:rsid w:val="00136696"/>
    <w:rsid w:val="00193272"/>
    <w:rsid w:val="001B1E60"/>
    <w:rsid w:val="001D1360"/>
    <w:rsid w:val="0021133E"/>
    <w:rsid w:val="002554A3"/>
    <w:rsid w:val="0027021B"/>
    <w:rsid w:val="0029174F"/>
    <w:rsid w:val="002B2FBF"/>
    <w:rsid w:val="003B182D"/>
    <w:rsid w:val="0040260A"/>
    <w:rsid w:val="0040576E"/>
    <w:rsid w:val="00410BA9"/>
    <w:rsid w:val="00414DAC"/>
    <w:rsid w:val="00434331"/>
    <w:rsid w:val="00480446"/>
    <w:rsid w:val="0048383F"/>
    <w:rsid w:val="004D28B4"/>
    <w:rsid w:val="004E1D8C"/>
    <w:rsid w:val="0054146A"/>
    <w:rsid w:val="00572599"/>
    <w:rsid w:val="005856E7"/>
    <w:rsid w:val="005D33FB"/>
    <w:rsid w:val="006413C0"/>
    <w:rsid w:val="006D29A5"/>
    <w:rsid w:val="00764138"/>
    <w:rsid w:val="007B0135"/>
    <w:rsid w:val="007C170C"/>
    <w:rsid w:val="0081258E"/>
    <w:rsid w:val="0082286E"/>
    <w:rsid w:val="0082576F"/>
    <w:rsid w:val="00834042"/>
    <w:rsid w:val="00851B06"/>
    <w:rsid w:val="008D7137"/>
    <w:rsid w:val="008E6956"/>
    <w:rsid w:val="008E6ED0"/>
    <w:rsid w:val="00921862"/>
    <w:rsid w:val="00982973"/>
    <w:rsid w:val="0098776A"/>
    <w:rsid w:val="009A1403"/>
    <w:rsid w:val="009B3E70"/>
    <w:rsid w:val="00A4034C"/>
    <w:rsid w:val="00A43A17"/>
    <w:rsid w:val="00A724D6"/>
    <w:rsid w:val="00A93DBF"/>
    <w:rsid w:val="00A959A0"/>
    <w:rsid w:val="00BB6AED"/>
    <w:rsid w:val="00BC0F47"/>
    <w:rsid w:val="00C17364"/>
    <w:rsid w:val="00C53601"/>
    <w:rsid w:val="00C67E9E"/>
    <w:rsid w:val="00CA14EF"/>
    <w:rsid w:val="00CD2BB3"/>
    <w:rsid w:val="00CF024F"/>
    <w:rsid w:val="00D02AD4"/>
    <w:rsid w:val="00D11666"/>
    <w:rsid w:val="00D42A69"/>
    <w:rsid w:val="00D64021"/>
    <w:rsid w:val="00D74659"/>
    <w:rsid w:val="00DC1BC8"/>
    <w:rsid w:val="00DD5EC9"/>
    <w:rsid w:val="00DE23A1"/>
    <w:rsid w:val="00DE3EF9"/>
    <w:rsid w:val="00E23FB5"/>
    <w:rsid w:val="00E47EBE"/>
    <w:rsid w:val="00E82AF8"/>
    <w:rsid w:val="00E86019"/>
    <w:rsid w:val="00E91C5E"/>
    <w:rsid w:val="00EA3679"/>
    <w:rsid w:val="00EB0F12"/>
    <w:rsid w:val="00EC1328"/>
    <w:rsid w:val="00F27CCD"/>
    <w:rsid w:val="00F31D88"/>
    <w:rsid w:val="00F546C5"/>
    <w:rsid w:val="00F605E3"/>
    <w:rsid w:val="00F61750"/>
    <w:rsid w:val="00F70BF7"/>
    <w:rsid w:val="00F83B2D"/>
    <w:rsid w:val="00FD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3901"/>
  <w15:chartTrackingRefBased/>
  <w15:docId w15:val="{3ADB1DCF-C602-4B18-9E5B-74F2700E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CD"/>
  </w:style>
  <w:style w:type="paragraph" w:styleId="Footer">
    <w:name w:val="footer"/>
    <w:basedOn w:val="Normal"/>
    <w:link w:val="FooterChar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DF281-E3D1-4D57-BD5F-E947F2A1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Despenic</dc:creator>
  <cp:keywords/>
  <dc:description/>
  <cp:lastModifiedBy>Vladimir Stojanovic</cp:lastModifiedBy>
  <cp:revision>10</cp:revision>
  <dcterms:created xsi:type="dcterms:W3CDTF">2025-03-15T02:34:00Z</dcterms:created>
  <dcterms:modified xsi:type="dcterms:W3CDTF">2025-03-15T17:53:00Z</dcterms:modified>
</cp:coreProperties>
</file>